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36" w:rsidRPr="003A160C" w:rsidRDefault="00FD3F36" w:rsidP="00FD3F36">
      <w:pPr>
        <w:spacing w:after="120" w:line="276" w:lineRule="auto"/>
        <w:jc w:val="both"/>
        <w:rPr>
          <w:rFonts w:asciiTheme="minorHAnsi" w:hAnsiTheme="minorHAnsi"/>
          <w:i/>
          <w:sz w:val="22"/>
        </w:rPr>
      </w:pPr>
      <w:bookmarkStart w:id="0" w:name="_GoBack"/>
      <w:r w:rsidRPr="003A160C">
        <w:rPr>
          <w:rFonts w:asciiTheme="minorHAnsi" w:hAnsiTheme="minorHAnsi"/>
          <w:i/>
          <w:sz w:val="22"/>
        </w:rPr>
        <w:t xml:space="preserve">Mainzer </w:t>
      </w:r>
      <w:proofErr w:type="spellStart"/>
      <w:r w:rsidRPr="003A160C">
        <w:rPr>
          <w:rFonts w:asciiTheme="minorHAnsi" w:hAnsiTheme="minorHAnsi"/>
          <w:i/>
          <w:sz w:val="22"/>
        </w:rPr>
        <w:t>Mentoring-to-Teach</w:t>
      </w:r>
      <w:proofErr w:type="spellEnd"/>
      <w:r w:rsidRPr="003A160C">
        <w:rPr>
          <w:rFonts w:asciiTheme="minorHAnsi" w:hAnsiTheme="minorHAnsi"/>
          <w:i/>
          <w:sz w:val="22"/>
        </w:rPr>
        <w:t xml:space="preserve"> Projekt</w:t>
      </w:r>
    </w:p>
    <w:bookmarkEnd w:id="0"/>
    <w:p w:rsidR="00FD3F36" w:rsidRPr="003A160C" w:rsidRDefault="00FD3F36" w:rsidP="00FD3F36">
      <w:pPr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3A160C">
        <w:rPr>
          <w:rFonts w:asciiTheme="minorHAnsi" w:hAnsiTheme="minorHAnsi"/>
          <w:i/>
          <w:sz w:val="22"/>
        </w:rPr>
        <w:t>Prof. Dr. Regina Egetenmeyer, Juniorprofessur für Lebenslanges Lernen</w:t>
      </w:r>
    </w:p>
    <w:p w:rsidR="00FD3F36" w:rsidRPr="003A160C" w:rsidRDefault="00FD3F36" w:rsidP="00FD3F36">
      <w:pPr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3A160C">
        <w:rPr>
          <w:rFonts w:asciiTheme="minorHAnsi" w:hAnsiTheme="minorHAnsi"/>
          <w:i/>
          <w:sz w:val="22"/>
        </w:rPr>
        <w:t>FB02 – Institut für Erziehungswissenschaft</w:t>
      </w:r>
    </w:p>
    <w:p w:rsidR="00FD3F36" w:rsidRPr="003A160C" w:rsidRDefault="00FD3F36" w:rsidP="00FD3F36">
      <w:pPr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3A160C">
        <w:rPr>
          <w:rFonts w:asciiTheme="minorHAnsi" w:hAnsiTheme="minorHAnsi"/>
          <w:i/>
          <w:sz w:val="22"/>
        </w:rPr>
        <w:t>Kathrin Kaleja, M.A. , FB02 – Institut für Erziehungswissenschaft</w:t>
      </w:r>
    </w:p>
    <w:p w:rsidR="00FD3F36" w:rsidRPr="003A160C" w:rsidRDefault="00FD3F36" w:rsidP="00FD3F36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3A160C">
        <w:rPr>
          <w:rFonts w:asciiTheme="minorHAnsi" w:hAnsiTheme="minorHAnsi"/>
          <w:i/>
          <w:sz w:val="22"/>
        </w:rPr>
        <w:t>Melanie Kübler, FB02 – Institut für Erziehungswissenschaft</w:t>
      </w:r>
    </w:p>
    <w:p w:rsidR="00FD3F36" w:rsidRPr="003A160C" w:rsidRDefault="00FD3F36" w:rsidP="00FD3F36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/>
          <w:i/>
          <w:sz w:val="22"/>
        </w:rPr>
      </w:pPr>
      <w:r w:rsidRPr="003A160C">
        <w:rPr>
          <w:rFonts w:asciiTheme="minorHAnsi" w:hAnsiTheme="minorHAnsi" w:cstheme="minorHAnsi"/>
          <w:i/>
          <w:sz w:val="22"/>
        </w:rPr>
        <w:t xml:space="preserve">Im Mainzer </w:t>
      </w:r>
      <w:proofErr w:type="spellStart"/>
      <w:r w:rsidRPr="003A160C">
        <w:rPr>
          <w:rFonts w:asciiTheme="minorHAnsi" w:hAnsiTheme="minorHAnsi" w:cstheme="minorHAnsi"/>
          <w:i/>
          <w:sz w:val="22"/>
        </w:rPr>
        <w:t>Mentoring-to-Teach</w:t>
      </w:r>
      <w:proofErr w:type="spellEnd"/>
      <w:r w:rsidRPr="003A160C">
        <w:rPr>
          <w:rFonts w:asciiTheme="minorHAnsi" w:hAnsiTheme="minorHAnsi" w:cstheme="minorHAnsi"/>
          <w:i/>
          <w:sz w:val="22"/>
        </w:rPr>
        <w:t xml:space="preserve"> Projekt wurde ein neuer Lernansatz für das Studium der Erwachsenenbi</w:t>
      </w:r>
      <w:r w:rsidRPr="003A160C">
        <w:rPr>
          <w:rFonts w:asciiTheme="minorHAnsi" w:hAnsiTheme="minorHAnsi" w:cstheme="minorHAnsi"/>
          <w:i/>
          <w:sz w:val="22"/>
        </w:rPr>
        <w:t>l</w:t>
      </w:r>
      <w:r w:rsidRPr="003A160C">
        <w:rPr>
          <w:rFonts w:asciiTheme="minorHAnsi" w:hAnsiTheme="minorHAnsi" w:cstheme="minorHAnsi"/>
          <w:i/>
          <w:sz w:val="22"/>
        </w:rPr>
        <w:t xml:space="preserve">dung/Weiterbildung entwickelte, in dem eine systematische Wissenschaft-Praxis-Verzahnung erfolgt. </w:t>
      </w:r>
      <w:r w:rsidRPr="003A160C">
        <w:rPr>
          <w:rFonts w:asciiTheme="minorHAnsi" w:eastAsiaTheme="minorHAnsi" w:hAnsiTheme="minorHAnsi"/>
          <w:i/>
          <w:sz w:val="22"/>
        </w:rPr>
        <w:t>Zie</w:t>
      </w:r>
      <w:r w:rsidRPr="003A160C">
        <w:rPr>
          <w:rFonts w:asciiTheme="minorHAnsi" w:eastAsiaTheme="minorHAnsi" w:hAnsiTheme="minorHAnsi"/>
          <w:i/>
          <w:sz w:val="22"/>
        </w:rPr>
        <w:t>l</w:t>
      </w:r>
      <w:r w:rsidRPr="003A160C">
        <w:rPr>
          <w:rFonts w:asciiTheme="minorHAnsi" w:eastAsiaTheme="minorHAnsi" w:hAnsiTheme="minorHAnsi"/>
          <w:i/>
          <w:sz w:val="22"/>
        </w:rPr>
        <w:t xml:space="preserve">gruppe sind Studierende </w:t>
      </w:r>
      <w:r w:rsidRPr="003A160C">
        <w:rPr>
          <w:rFonts w:asciiTheme="minorHAnsi" w:eastAsiaTheme="minorHAnsi" w:hAnsiTheme="minorHAnsi"/>
          <w:bCs/>
          <w:i/>
          <w:sz w:val="22"/>
        </w:rPr>
        <w:t>des Bachelor-Kernfachs Erziehungswissenschaft mit Schwerpunkt Lebenslanges Lernen und Medienbildung</w:t>
      </w:r>
      <w:r w:rsidRPr="003A160C">
        <w:rPr>
          <w:rFonts w:asciiTheme="minorHAnsi" w:eastAsiaTheme="minorHAnsi" w:hAnsiTheme="minorHAnsi"/>
          <w:i/>
          <w:sz w:val="22"/>
        </w:rPr>
        <w:t>.</w:t>
      </w:r>
    </w:p>
    <w:p w:rsidR="00FD3F36" w:rsidRPr="003A160C" w:rsidRDefault="00FD3F36" w:rsidP="00FD3F36">
      <w:pPr>
        <w:spacing w:after="12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3A160C">
        <w:rPr>
          <w:rFonts w:asciiTheme="minorHAnsi" w:hAnsiTheme="minorHAnsi" w:cstheme="minorHAnsi"/>
          <w:i/>
          <w:sz w:val="22"/>
        </w:rPr>
        <w:t>Klassischerweise erfolgen Wissenschaft- und Praxisanteile in der Hochschulausbildung der Erwachsene</w:t>
      </w:r>
      <w:r w:rsidRPr="003A160C">
        <w:rPr>
          <w:rFonts w:asciiTheme="minorHAnsi" w:hAnsiTheme="minorHAnsi" w:cstheme="minorHAnsi"/>
          <w:i/>
          <w:sz w:val="22"/>
        </w:rPr>
        <w:t>n</w:t>
      </w:r>
      <w:r w:rsidRPr="003A160C">
        <w:rPr>
          <w:rFonts w:asciiTheme="minorHAnsi" w:hAnsiTheme="minorHAnsi" w:cstheme="minorHAnsi"/>
          <w:i/>
          <w:sz w:val="22"/>
        </w:rPr>
        <w:t>bildung/Weiterbildung weitgehend separiert voneinander. Die Studierenden setzen sich an der Hochschule mit theoretischen Ansätzen und wissenschaftlichen Erkenntnissen der Erwachsenenbildung/Weiterbildung auseinander. Dabei haben die jungen Studierenden oftmals weder selbst bereits an einer Weiterbildung</w:t>
      </w:r>
      <w:r w:rsidRPr="003A160C">
        <w:rPr>
          <w:rFonts w:asciiTheme="minorHAnsi" w:hAnsiTheme="minorHAnsi" w:cstheme="minorHAnsi"/>
          <w:i/>
          <w:sz w:val="22"/>
        </w:rPr>
        <w:t>s</w:t>
      </w:r>
      <w:r w:rsidRPr="003A160C">
        <w:rPr>
          <w:rFonts w:asciiTheme="minorHAnsi" w:hAnsiTheme="minorHAnsi" w:cstheme="minorHAnsi"/>
          <w:i/>
          <w:sz w:val="22"/>
        </w:rPr>
        <w:t xml:space="preserve">veranstaltung teilgenommen noch sonstige Einblicke in die Praxis der Erwachsenenbildung/Weiterbildung. In Praktika fehlen zumeist Anbindungen an die akademischen Themen, die an der Hochschule erarbeitet werden. Die Relevanz der Studieninhalte ist für viele Studierende deshalb oftmals nicht erkennbar. Der Ansatz </w:t>
      </w:r>
      <w:proofErr w:type="spellStart"/>
      <w:r w:rsidRPr="003A160C">
        <w:rPr>
          <w:rFonts w:asciiTheme="minorHAnsi" w:hAnsiTheme="minorHAnsi" w:cstheme="minorHAnsi"/>
          <w:i/>
          <w:sz w:val="22"/>
        </w:rPr>
        <w:t>Mentoring-to-Teach</w:t>
      </w:r>
      <w:proofErr w:type="spellEnd"/>
      <w:r w:rsidRPr="003A160C">
        <w:rPr>
          <w:rFonts w:asciiTheme="minorHAnsi" w:hAnsiTheme="minorHAnsi" w:cstheme="minorHAnsi"/>
          <w:i/>
          <w:sz w:val="22"/>
        </w:rPr>
        <w:t xml:space="preserve"> zielt auf die </w:t>
      </w:r>
      <w:proofErr w:type="spellStart"/>
      <w:r w:rsidRPr="003A160C">
        <w:rPr>
          <w:rFonts w:asciiTheme="minorHAnsi" w:hAnsiTheme="minorHAnsi" w:cstheme="minorHAnsi"/>
          <w:i/>
          <w:sz w:val="22"/>
        </w:rPr>
        <w:t>Relevanzstrukturen</w:t>
      </w:r>
      <w:proofErr w:type="spellEnd"/>
      <w:r w:rsidRPr="003A160C">
        <w:rPr>
          <w:rFonts w:asciiTheme="minorHAnsi" w:hAnsiTheme="minorHAnsi" w:cstheme="minorHAnsi"/>
          <w:i/>
          <w:sz w:val="22"/>
        </w:rPr>
        <w:t xml:space="preserve"> der Studierenden. Dabei unterstützt er gleic</w:t>
      </w:r>
      <w:r w:rsidRPr="003A160C">
        <w:rPr>
          <w:rFonts w:asciiTheme="minorHAnsi" w:hAnsiTheme="minorHAnsi" w:cstheme="minorHAnsi"/>
          <w:i/>
          <w:sz w:val="22"/>
        </w:rPr>
        <w:t>h</w:t>
      </w:r>
      <w:r w:rsidRPr="003A160C">
        <w:rPr>
          <w:rFonts w:asciiTheme="minorHAnsi" w:hAnsiTheme="minorHAnsi" w:cstheme="minorHAnsi"/>
          <w:i/>
          <w:sz w:val="22"/>
        </w:rPr>
        <w:t>zeitig wissenschaftliches, analytisches Denken der Studierenden und damit die akademische Professional</w:t>
      </w:r>
      <w:r w:rsidRPr="003A160C">
        <w:rPr>
          <w:rFonts w:asciiTheme="minorHAnsi" w:hAnsiTheme="minorHAnsi" w:cstheme="minorHAnsi"/>
          <w:i/>
          <w:sz w:val="22"/>
        </w:rPr>
        <w:t>i</w:t>
      </w:r>
      <w:r w:rsidRPr="003A160C">
        <w:rPr>
          <w:rFonts w:asciiTheme="minorHAnsi" w:hAnsiTheme="minorHAnsi" w:cstheme="minorHAnsi"/>
          <w:i/>
          <w:sz w:val="22"/>
        </w:rPr>
        <w:t>tätsentwicklung in der Erwachsenenbildung.</w:t>
      </w:r>
    </w:p>
    <w:p w:rsidR="00FD3F36" w:rsidRPr="003A160C" w:rsidRDefault="00FD3F36" w:rsidP="00FD3F36">
      <w:pPr>
        <w:spacing w:after="12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3A160C">
        <w:rPr>
          <w:rFonts w:asciiTheme="minorHAnsi" w:hAnsiTheme="minorHAnsi" w:cstheme="minorHAnsi"/>
          <w:i/>
          <w:sz w:val="22"/>
        </w:rPr>
        <w:t xml:space="preserve">Im </w:t>
      </w:r>
      <w:proofErr w:type="spellStart"/>
      <w:r w:rsidRPr="003A160C">
        <w:rPr>
          <w:rFonts w:asciiTheme="minorHAnsi" w:hAnsiTheme="minorHAnsi" w:cstheme="minorHAnsi"/>
          <w:i/>
          <w:sz w:val="22"/>
        </w:rPr>
        <w:t>Mentoring-to-Teach</w:t>
      </w:r>
      <w:proofErr w:type="spellEnd"/>
      <w:r w:rsidRPr="003A160C">
        <w:rPr>
          <w:rFonts w:asciiTheme="minorHAnsi" w:hAnsiTheme="minorHAnsi" w:cstheme="minorHAnsi"/>
          <w:i/>
          <w:sz w:val="22"/>
        </w:rPr>
        <w:t xml:space="preserve"> werden die Bachelor-Studierenden mit erfahrenen Dozierenden aus der Erwachs</w:t>
      </w:r>
      <w:r w:rsidRPr="003A160C">
        <w:rPr>
          <w:rFonts w:asciiTheme="minorHAnsi" w:hAnsiTheme="minorHAnsi" w:cstheme="minorHAnsi"/>
          <w:i/>
          <w:sz w:val="22"/>
        </w:rPr>
        <w:t>e</w:t>
      </w:r>
      <w:r w:rsidRPr="003A160C">
        <w:rPr>
          <w:rFonts w:asciiTheme="minorHAnsi" w:hAnsiTheme="minorHAnsi" w:cstheme="minorHAnsi"/>
          <w:i/>
          <w:sz w:val="22"/>
        </w:rPr>
        <w:t xml:space="preserve">nenbildung vernetzt. Die Veranstaltung hat folgenden Aufbau: </w:t>
      </w:r>
    </w:p>
    <w:p w:rsidR="00FD3F36" w:rsidRPr="003A160C" w:rsidRDefault="00FD3F36" w:rsidP="00FD3F36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/>
          <w:i/>
          <w:sz w:val="22"/>
        </w:rPr>
      </w:pPr>
      <w:r w:rsidRPr="003A160C">
        <w:rPr>
          <w:rFonts w:asciiTheme="minorHAnsi" w:eastAsiaTheme="minorHAnsi" w:hAnsiTheme="minorHAnsi"/>
          <w:i/>
          <w:sz w:val="22"/>
        </w:rPr>
        <w:t>In den ersten Wochen des Semesters analysieren und diskutieren die Studierenden an der Hochschule d</w:t>
      </w:r>
      <w:r w:rsidRPr="003A160C">
        <w:rPr>
          <w:rFonts w:asciiTheme="minorHAnsi" w:eastAsiaTheme="minorHAnsi" w:hAnsiTheme="minorHAnsi"/>
          <w:i/>
          <w:sz w:val="22"/>
        </w:rPr>
        <w:t>i</w:t>
      </w:r>
      <w:r w:rsidRPr="003A160C">
        <w:rPr>
          <w:rFonts w:asciiTheme="minorHAnsi" w:eastAsiaTheme="minorHAnsi" w:hAnsiTheme="minorHAnsi"/>
          <w:i/>
          <w:sz w:val="22"/>
        </w:rPr>
        <w:t xml:space="preserve">daktische Ansätze und Prinzipien aus der Erwachsenenbildung/Weiterbildung. Dabei erarbeiten sie sich ein Raster, mithilfe dessen sie in der Erwachsenenbildungspraxis die verschiedenen Ansätze und Prinzipien beobachten können. Sodann erfolgt eine </w:t>
      </w:r>
      <w:proofErr w:type="spellStart"/>
      <w:r w:rsidRPr="003A160C">
        <w:rPr>
          <w:rFonts w:asciiTheme="minorHAnsi" w:eastAsiaTheme="minorHAnsi" w:hAnsiTheme="minorHAnsi"/>
          <w:i/>
          <w:sz w:val="22"/>
        </w:rPr>
        <w:t>Mentoring</w:t>
      </w:r>
      <w:proofErr w:type="spellEnd"/>
      <w:r w:rsidRPr="003A160C">
        <w:rPr>
          <w:rFonts w:asciiTheme="minorHAnsi" w:eastAsiaTheme="minorHAnsi" w:hAnsiTheme="minorHAnsi"/>
          <w:i/>
          <w:sz w:val="22"/>
        </w:rPr>
        <w:t>-Phase. In dieser erhält jede/r Studierende Kontakt zu einem/r erfahrenen Dozenten/in (=Mentor/in) aus der erwachsenpädagogischen Praxis. Diese/n begleiten die Studierenden (=</w:t>
      </w:r>
      <w:proofErr w:type="spellStart"/>
      <w:r w:rsidRPr="003A160C">
        <w:rPr>
          <w:rFonts w:asciiTheme="minorHAnsi" w:eastAsiaTheme="minorHAnsi" w:hAnsiTheme="minorHAnsi"/>
          <w:i/>
          <w:sz w:val="22"/>
        </w:rPr>
        <w:t>Mentees</w:t>
      </w:r>
      <w:proofErr w:type="spellEnd"/>
      <w:r w:rsidRPr="003A160C">
        <w:rPr>
          <w:rFonts w:asciiTheme="minorHAnsi" w:eastAsiaTheme="minorHAnsi" w:hAnsiTheme="minorHAnsi"/>
          <w:i/>
          <w:sz w:val="22"/>
        </w:rPr>
        <w:t>) bei der Vorbereitung und Durchführung einer Weiterbildungsveranstaltung. Je nach Praxissituation erhalten die Studierenden auch die Möglichkeit, sich aktiv an der Seminardurchfü</w:t>
      </w:r>
      <w:r w:rsidRPr="003A160C">
        <w:rPr>
          <w:rFonts w:asciiTheme="minorHAnsi" w:eastAsiaTheme="minorHAnsi" w:hAnsiTheme="minorHAnsi"/>
          <w:i/>
          <w:sz w:val="22"/>
        </w:rPr>
        <w:t>h</w:t>
      </w:r>
      <w:r w:rsidRPr="003A160C">
        <w:rPr>
          <w:rFonts w:asciiTheme="minorHAnsi" w:eastAsiaTheme="minorHAnsi" w:hAnsiTheme="minorHAnsi"/>
          <w:i/>
          <w:sz w:val="22"/>
        </w:rPr>
        <w:t>rung zu beteiligen. Im Anschluss reflektieren die Studierenden gemeinsam mit dem/r Mentor/in ihre B</w:t>
      </w:r>
      <w:r w:rsidRPr="003A160C">
        <w:rPr>
          <w:rFonts w:asciiTheme="minorHAnsi" w:eastAsiaTheme="minorHAnsi" w:hAnsiTheme="minorHAnsi"/>
          <w:i/>
          <w:sz w:val="22"/>
        </w:rPr>
        <w:t>e</w:t>
      </w:r>
      <w:r w:rsidRPr="003A160C">
        <w:rPr>
          <w:rFonts w:asciiTheme="minorHAnsi" w:eastAsiaTheme="minorHAnsi" w:hAnsiTheme="minorHAnsi"/>
          <w:i/>
          <w:sz w:val="22"/>
        </w:rPr>
        <w:t xml:space="preserve">obachtungen. Zur Durchführung des </w:t>
      </w:r>
      <w:proofErr w:type="spellStart"/>
      <w:r w:rsidRPr="003A160C">
        <w:rPr>
          <w:rFonts w:asciiTheme="minorHAnsi" w:eastAsiaTheme="minorHAnsi" w:hAnsiTheme="minorHAnsi"/>
          <w:i/>
          <w:sz w:val="22"/>
        </w:rPr>
        <w:t>Mentoring</w:t>
      </w:r>
      <w:proofErr w:type="spellEnd"/>
      <w:r w:rsidRPr="003A160C">
        <w:rPr>
          <w:rFonts w:asciiTheme="minorHAnsi" w:eastAsiaTheme="minorHAnsi" w:hAnsiTheme="minorHAnsi"/>
          <w:i/>
          <w:sz w:val="22"/>
        </w:rPr>
        <w:t xml:space="preserve"> erhalten die Studierenden und Mentor/</w:t>
      </w:r>
      <w:proofErr w:type="spellStart"/>
      <w:r w:rsidRPr="003A160C">
        <w:rPr>
          <w:rFonts w:asciiTheme="minorHAnsi" w:eastAsiaTheme="minorHAnsi" w:hAnsiTheme="minorHAnsi"/>
          <w:i/>
          <w:sz w:val="22"/>
        </w:rPr>
        <w:t>inn</w:t>
      </w:r>
      <w:proofErr w:type="spellEnd"/>
      <w:r w:rsidRPr="003A160C">
        <w:rPr>
          <w:rFonts w:asciiTheme="minorHAnsi" w:eastAsiaTheme="minorHAnsi" w:hAnsiTheme="minorHAnsi"/>
          <w:i/>
          <w:sz w:val="22"/>
        </w:rPr>
        <w:t>/en jeweils ein Handbuch mit Informationen und Reflexionsleitfäden. So werden die Themen des Hochschulseminars z</w:t>
      </w:r>
      <w:r w:rsidRPr="003A160C">
        <w:rPr>
          <w:rFonts w:asciiTheme="minorHAnsi" w:eastAsiaTheme="minorHAnsi" w:hAnsiTheme="minorHAnsi"/>
          <w:i/>
          <w:sz w:val="22"/>
        </w:rPr>
        <w:t>u</w:t>
      </w:r>
      <w:r w:rsidRPr="003A160C">
        <w:rPr>
          <w:rFonts w:asciiTheme="minorHAnsi" w:eastAsiaTheme="minorHAnsi" w:hAnsiTheme="minorHAnsi"/>
          <w:i/>
          <w:sz w:val="22"/>
        </w:rPr>
        <w:t xml:space="preserve">nächst mit den Praktiker/inne/n reflektiert. </w:t>
      </w:r>
    </w:p>
    <w:p w:rsidR="00FD3F36" w:rsidRPr="003A160C" w:rsidRDefault="00FD3F36" w:rsidP="00FD3F36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/>
          <w:i/>
          <w:sz w:val="22"/>
        </w:rPr>
      </w:pPr>
      <w:r w:rsidRPr="003A160C">
        <w:rPr>
          <w:rFonts w:asciiTheme="minorHAnsi" w:eastAsiaTheme="minorHAnsi" w:hAnsiTheme="minorHAnsi"/>
          <w:i/>
          <w:sz w:val="22"/>
        </w:rPr>
        <w:t xml:space="preserve">Am Ende des Semesters erfolgt an der Hochschule ein Reflexionstag. Hier präsentieren die Studierenden ihre Praxisbeobachtungen und -analysen. Diese werden im Plenum diskutiert. Die Diskussion stellt die Basis für den Reflexionsbericht dar, den die Studierenden anschließend als Modulabschlussprüfung einreichen können. </w:t>
      </w:r>
    </w:p>
    <w:p w:rsidR="00FD3F36" w:rsidRPr="003A160C" w:rsidRDefault="00FD3F36" w:rsidP="00FD3F36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Theme="minorHAnsi" w:hAnsiTheme="minorHAnsi"/>
          <w:bCs/>
          <w:i/>
          <w:sz w:val="22"/>
        </w:rPr>
      </w:pPr>
      <w:r w:rsidRPr="003A160C">
        <w:rPr>
          <w:rFonts w:asciiTheme="minorHAnsi" w:eastAsiaTheme="minorHAnsi" w:hAnsiTheme="minorHAnsi"/>
          <w:i/>
          <w:sz w:val="22"/>
        </w:rPr>
        <w:t xml:space="preserve">Das </w:t>
      </w:r>
      <w:r w:rsidRPr="003A160C">
        <w:rPr>
          <w:rFonts w:asciiTheme="minorHAnsi" w:eastAsiaTheme="minorHAnsi" w:hAnsiTheme="minorHAnsi"/>
          <w:bCs/>
          <w:i/>
          <w:sz w:val="22"/>
        </w:rPr>
        <w:t xml:space="preserve">Projekt wurde im </w:t>
      </w:r>
      <w:proofErr w:type="spellStart"/>
      <w:r w:rsidRPr="003A160C">
        <w:rPr>
          <w:rFonts w:asciiTheme="minorHAnsi" w:eastAsiaTheme="minorHAnsi" w:hAnsiTheme="minorHAnsi"/>
          <w:bCs/>
          <w:i/>
          <w:sz w:val="22"/>
        </w:rPr>
        <w:t>WiSe</w:t>
      </w:r>
      <w:proofErr w:type="spellEnd"/>
      <w:r w:rsidRPr="003A160C">
        <w:rPr>
          <w:rFonts w:asciiTheme="minorHAnsi" w:eastAsiaTheme="minorHAnsi" w:hAnsiTheme="minorHAnsi"/>
          <w:bCs/>
          <w:i/>
          <w:sz w:val="22"/>
        </w:rPr>
        <w:t xml:space="preserve"> 2012/13 erstmalig mit 21 Studierenden durchgeführt. Der Ansatz zeigte eine überdurchschnittliche Entwicklung analytischer Kompetenzen bei den Studierenden sowie ein hohe Ause</w:t>
      </w:r>
      <w:r w:rsidRPr="003A160C">
        <w:rPr>
          <w:rFonts w:asciiTheme="minorHAnsi" w:eastAsiaTheme="minorHAnsi" w:hAnsiTheme="minorHAnsi"/>
          <w:bCs/>
          <w:i/>
          <w:sz w:val="22"/>
        </w:rPr>
        <w:t>i</w:t>
      </w:r>
      <w:r w:rsidRPr="003A160C">
        <w:rPr>
          <w:rFonts w:asciiTheme="minorHAnsi" w:eastAsiaTheme="minorHAnsi" w:hAnsiTheme="minorHAnsi"/>
          <w:bCs/>
          <w:i/>
          <w:sz w:val="22"/>
        </w:rPr>
        <w:t xml:space="preserve">nandersetzung mit den theoretischen Ansätzen und Prinzipien. Gleichzeitig erfuhren wir im </w:t>
      </w:r>
      <w:r w:rsidRPr="003A160C">
        <w:rPr>
          <w:rFonts w:asciiTheme="minorHAnsi" w:eastAsiaTheme="minorHAnsi" w:hAnsiTheme="minorHAnsi"/>
          <w:bCs/>
          <w:i/>
          <w:sz w:val="22"/>
        </w:rPr>
        <w:lastRenderedPageBreak/>
        <w:t>Projekt in der Zusammenarbeit mit den Mentor/</w:t>
      </w:r>
      <w:proofErr w:type="spellStart"/>
      <w:r w:rsidRPr="003A160C">
        <w:rPr>
          <w:rFonts w:asciiTheme="minorHAnsi" w:eastAsiaTheme="minorHAnsi" w:hAnsiTheme="minorHAnsi"/>
          <w:bCs/>
          <w:i/>
          <w:sz w:val="22"/>
        </w:rPr>
        <w:t>inn</w:t>
      </w:r>
      <w:proofErr w:type="spellEnd"/>
      <w:r w:rsidRPr="003A160C">
        <w:rPr>
          <w:rFonts w:asciiTheme="minorHAnsi" w:eastAsiaTheme="minorHAnsi" w:hAnsiTheme="minorHAnsi"/>
          <w:bCs/>
          <w:i/>
          <w:sz w:val="22"/>
        </w:rPr>
        <w:t>/en ein hohes Interesse und Engagement. Deshalb soll der Ansatz nachhaltig im Studium verankert werden.</w:t>
      </w:r>
    </w:p>
    <w:p w:rsidR="00FD3F36" w:rsidRPr="003A160C" w:rsidRDefault="00FD3F36" w:rsidP="00FD3F36">
      <w:pPr>
        <w:spacing w:after="120" w:line="276" w:lineRule="auto"/>
        <w:jc w:val="both"/>
        <w:rPr>
          <w:rFonts w:asciiTheme="minorHAnsi" w:hAnsiTheme="minorHAnsi"/>
          <w:i/>
          <w:sz w:val="22"/>
        </w:rPr>
      </w:pPr>
      <w:r w:rsidRPr="003A160C">
        <w:rPr>
          <w:rFonts w:asciiTheme="minorHAnsi" w:hAnsiTheme="minorHAnsi"/>
          <w:i/>
          <w:sz w:val="22"/>
        </w:rPr>
        <w:t>egetenmeyer@uni-mainz.de</w:t>
      </w:r>
    </w:p>
    <w:p w:rsidR="00FD3F36" w:rsidRPr="003A160C" w:rsidRDefault="00FD3F36" w:rsidP="00FD3F36">
      <w:pPr>
        <w:spacing w:after="120" w:line="276" w:lineRule="auto"/>
        <w:jc w:val="both"/>
        <w:rPr>
          <w:rFonts w:asciiTheme="minorHAnsi" w:hAnsiTheme="minorHAnsi"/>
          <w:i/>
          <w:sz w:val="22"/>
        </w:rPr>
      </w:pPr>
      <w:hyperlink r:id="rId5" w:history="1">
        <w:r w:rsidRPr="003A160C">
          <w:rPr>
            <w:rFonts w:asciiTheme="minorHAnsi" w:hAnsiTheme="minorHAnsi"/>
            <w:sz w:val="22"/>
          </w:rPr>
          <w:t>kaleja@uni-mainz.de</w:t>
        </w:r>
      </w:hyperlink>
    </w:p>
    <w:p w:rsidR="00482FE3" w:rsidRDefault="00FD3F36" w:rsidP="00FD3F36">
      <w:r w:rsidRPr="003A160C">
        <w:rPr>
          <w:rFonts w:asciiTheme="minorHAnsi" w:hAnsiTheme="minorHAnsi"/>
          <w:i/>
          <w:sz w:val="22"/>
        </w:rPr>
        <w:t>www.uni-mainz.de/mentoring-to-teach</w:t>
      </w:r>
    </w:p>
    <w:sectPr w:rsidR="00482F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36"/>
    <w:rsid w:val="00333E60"/>
    <w:rsid w:val="00FD3F36"/>
    <w:rsid w:val="00FD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3F36"/>
    <w:pPr>
      <w:spacing w:after="0" w:line="288" w:lineRule="auto"/>
    </w:pPr>
    <w:rPr>
      <w:rFonts w:ascii="Arial Narrow" w:eastAsia="Arial Narrow" w:hAnsi="Arial Narrow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3F36"/>
    <w:pPr>
      <w:spacing w:after="0" w:line="288" w:lineRule="auto"/>
    </w:pPr>
    <w:rPr>
      <w:rFonts w:ascii="Arial Narrow" w:eastAsia="Arial Narrow" w:hAnsi="Arial Narrow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leja@uni-main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morima00</dc:creator>
  <cp:lastModifiedBy>morima00</cp:lastModifiedBy>
  <cp:revision>1</cp:revision>
  <dcterms:created xsi:type="dcterms:W3CDTF">2013-03-13T14:43:00Z</dcterms:created>
  <dcterms:modified xsi:type="dcterms:W3CDTF">2013-03-13T14:44:00Z</dcterms:modified>
</cp:coreProperties>
</file>